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FF697B" w14:textId="77777777" w:rsidR="00683171" w:rsidRPr="00E60C6F" w:rsidRDefault="00683171" w:rsidP="001D156A">
      <w:pPr>
        <w:pStyle w:val="Listaszerbekezds"/>
        <w:ind w:left="360"/>
        <w:jc w:val="right"/>
        <w:rPr>
          <w:rFonts w:ascii="Arial" w:hAnsi="Arial" w:cs="Arial"/>
          <w:b/>
          <w:sz w:val="24"/>
          <w:szCs w:val="24"/>
        </w:rPr>
      </w:pPr>
      <w:r w:rsidRPr="00E60C6F">
        <w:rPr>
          <w:rFonts w:ascii="Arial" w:hAnsi="Arial" w:cs="Arial"/>
          <w:b/>
          <w:sz w:val="24"/>
          <w:szCs w:val="24"/>
        </w:rPr>
        <w:t>I.számú melléklet</w:t>
      </w:r>
    </w:p>
    <w:p w14:paraId="42FF697C" w14:textId="77777777" w:rsidR="00683171" w:rsidRDefault="00683171" w:rsidP="004B2AA5">
      <w:pPr>
        <w:jc w:val="center"/>
        <w:rPr>
          <w:rFonts w:ascii="Arial" w:hAnsi="Arial" w:cs="Arial"/>
          <w:sz w:val="32"/>
          <w:szCs w:val="32"/>
        </w:rPr>
      </w:pPr>
    </w:p>
    <w:p w14:paraId="42FF697D" w14:textId="77777777" w:rsidR="00683171" w:rsidRPr="00E60C6F" w:rsidRDefault="00683171" w:rsidP="004B2AA5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60C6F">
        <w:rPr>
          <w:rFonts w:ascii="Arial" w:hAnsi="Arial" w:cs="Arial"/>
          <w:b/>
          <w:sz w:val="32"/>
          <w:szCs w:val="32"/>
        </w:rPr>
        <w:t>ÁLTALÁNOS ÖSSZEFÉRHETETLENSÉGI</w:t>
      </w:r>
    </w:p>
    <w:p w14:paraId="42FF697E" w14:textId="77777777" w:rsidR="00683171" w:rsidRPr="00E60C6F" w:rsidRDefault="00683171" w:rsidP="004B2AA5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60C6F">
        <w:rPr>
          <w:rFonts w:ascii="Arial" w:hAnsi="Arial" w:cs="Arial"/>
          <w:b/>
          <w:sz w:val="32"/>
          <w:szCs w:val="32"/>
        </w:rPr>
        <w:t>ÉS TITOKTARTÁSI NYILATKOZAT</w:t>
      </w:r>
    </w:p>
    <w:p w14:paraId="42FF697F" w14:textId="77777777" w:rsidR="00683171" w:rsidRDefault="00683171" w:rsidP="004B2AA5">
      <w:pPr>
        <w:spacing w:line="240" w:lineRule="auto"/>
        <w:jc w:val="center"/>
        <w:rPr>
          <w:rFonts w:ascii="Arial" w:hAnsi="Arial" w:cs="Arial"/>
          <w:sz w:val="32"/>
          <w:szCs w:val="32"/>
        </w:rPr>
      </w:pPr>
      <w:r w:rsidRPr="00E60C6F">
        <w:rPr>
          <w:rFonts w:ascii="Arial" w:hAnsi="Arial" w:cs="Arial"/>
          <w:b/>
          <w:sz w:val="32"/>
          <w:szCs w:val="32"/>
        </w:rPr>
        <w:t>A KÉPVISELŐ-TESTÜLET TAGJAI SZÁMÁRA</w:t>
      </w:r>
    </w:p>
    <w:p w14:paraId="42FF6980" w14:textId="77777777" w:rsidR="00683171" w:rsidRDefault="00683171" w:rsidP="004B2AA5">
      <w:pPr>
        <w:jc w:val="center"/>
        <w:rPr>
          <w:rFonts w:ascii="Arial" w:hAnsi="Arial" w:cs="Arial"/>
          <w:sz w:val="32"/>
          <w:szCs w:val="32"/>
        </w:rPr>
      </w:pPr>
    </w:p>
    <w:p w14:paraId="42FF6981" w14:textId="77777777" w:rsidR="00683171" w:rsidRDefault="00683171" w:rsidP="004B2AA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Alulírott ………………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…………….…………………..(lakcím: ………………………</w:t>
      </w:r>
    </w:p>
    <w:p w14:paraId="42FF6982" w14:textId="7F87384E" w:rsidR="00683171" w:rsidRPr="00735FDE" w:rsidRDefault="00683171" w:rsidP="004B2AA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…………………………)</w:t>
      </w:r>
      <w:r w:rsidR="00DB5CC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mint Szombathely Megyei Jogú Város Önkormányzata Közgyűlésének tagja nyilatkozom, hog</w:t>
      </w:r>
      <w:r w:rsidR="002E65B6">
        <w:rPr>
          <w:rFonts w:ascii="Arial" w:hAnsi="Arial" w:cs="Arial"/>
          <w:sz w:val="24"/>
          <w:szCs w:val="24"/>
        </w:rPr>
        <w:t xml:space="preserve">y a közbeszerzésekről szóló </w:t>
      </w:r>
      <w:r w:rsidR="002E65B6" w:rsidRPr="00FD4600">
        <w:rPr>
          <w:rFonts w:ascii="Arial" w:hAnsi="Arial" w:cs="Arial"/>
          <w:sz w:val="24"/>
          <w:szCs w:val="24"/>
        </w:rPr>
        <w:t>2015. évi CXLIII</w:t>
      </w:r>
      <w:r w:rsidRPr="00FD4600">
        <w:rPr>
          <w:rFonts w:ascii="Arial" w:hAnsi="Arial" w:cs="Arial"/>
          <w:sz w:val="24"/>
          <w:szCs w:val="24"/>
        </w:rPr>
        <w:t>.</w:t>
      </w:r>
      <w:r w:rsidRPr="00B664EE">
        <w:rPr>
          <w:rFonts w:ascii="Arial" w:hAnsi="Arial" w:cs="Arial"/>
          <w:sz w:val="24"/>
          <w:szCs w:val="24"/>
        </w:rPr>
        <w:t xml:space="preserve"> törvényben meghatározott összeférhetetlenségi okokat az alábbiak szerint </w:t>
      </w:r>
      <w:r w:rsidRPr="00735FDE">
        <w:rPr>
          <w:rFonts w:ascii="Arial" w:hAnsi="Arial" w:cs="Arial"/>
          <w:sz w:val="24"/>
          <w:szCs w:val="24"/>
        </w:rPr>
        <w:t xml:space="preserve">megismertem: </w:t>
      </w:r>
    </w:p>
    <w:p w14:paraId="0847B2C4" w14:textId="142C67C3" w:rsidR="00E10A03" w:rsidRPr="00E15A39" w:rsidRDefault="002E65B6" w:rsidP="004B2AA5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95DBD">
        <w:rPr>
          <w:rFonts w:ascii="Arial" w:hAnsi="Arial" w:cs="Arial"/>
          <w:b/>
          <w:bCs/>
          <w:sz w:val="24"/>
          <w:szCs w:val="24"/>
        </w:rPr>
        <w:t>Kbt. 25</w:t>
      </w:r>
      <w:r w:rsidR="00683171" w:rsidRPr="00195DBD">
        <w:rPr>
          <w:rFonts w:ascii="Arial" w:hAnsi="Arial" w:cs="Arial"/>
          <w:b/>
          <w:bCs/>
          <w:sz w:val="24"/>
          <w:szCs w:val="24"/>
        </w:rPr>
        <w:t xml:space="preserve">. § </w:t>
      </w:r>
    </w:p>
    <w:p w14:paraId="75E14498" w14:textId="7D01BB6C" w:rsidR="00E10A03" w:rsidRPr="00E10A03" w:rsidRDefault="00E10A03" w:rsidP="004B2AA5">
      <w:pPr>
        <w:spacing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E10A03">
        <w:rPr>
          <w:rFonts w:ascii="Arial" w:hAnsi="Arial" w:cs="Arial"/>
          <w:i/>
          <w:iCs/>
          <w:sz w:val="24"/>
          <w:szCs w:val="24"/>
        </w:rPr>
        <w:t>(1)</w:t>
      </w:r>
      <w:r w:rsidRPr="00E10A03">
        <w:t xml:space="preserve"> </w:t>
      </w:r>
      <w:r w:rsidRPr="00E10A03">
        <w:rPr>
          <w:rFonts w:ascii="Arial" w:hAnsi="Arial" w:cs="Arial"/>
          <w:i/>
          <w:iCs/>
          <w:sz w:val="24"/>
          <w:szCs w:val="24"/>
        </w:rPr>
        <w:t xml:space="preserve"> Az ajánlatkérő köteles minden szükséges intézkedést megtenni annak érdekében, hogy megelőzze, feltárja és szükség esetén orvosolja az összeférhetetlenséget és a verseny tisztaságának sérelmét eredményező helyzeteket.</w:t>
      </w:r>
    </w:p>
    <w:p w14:paraId="2C499166" w14:textId="77777777" w:rsidR="00195DBD" w:rsidRPr="00195DBD" w:rsidRDefault="00195DBD" w:rsidP="00195DBD">
      <w:pPr>
        <w:spacing w:before="100" w:beforeAutospacing="1" w:after="100" w:afterAutospacing="1" w:line="240" w:lineRule="auto"/>
        <w:jc w:val="both"/>
        <w:textAlignment w:val="top"/>
        <w:rPr>
          <w:rFonts w:ascii="Arial" w:hAnsi="Arial" w:cs="Arial"/>
          <w:i/>
          <w:iCs/>
          <w:sz w:val="24"/>
          <w:szCs w:val="24"/>
        </w:rPr>
      </w:pPr>
      <w:r w:rsidRPr="00E10A03">
        <w:rPr>
          <w:rFonts w:ascii="Arial" w:hAnsi="Arial" w:cs="Arial"/>
          <w:i/>
          <w:iCs/>
          <w:sz w:val="24"/>
          <w:szCs w:val="24"/>
        </w:rPr>
        <w:t>(2) Az ajánlatkérő nevében eljáró és az ajánlatkérő által az eljárással vagy annak előkészítésével kapcsolatos tevékenységbe bevont személy írásban köteles nyilatkozni arról, hogy vele szemben fennáll-e bármely olyan körülmény, amely az e § szerinti összeférhetetlenséget eredményezhet. Ha e személy a közbeszerzési eljáráshoz kapcsolódó</w:t>
      </w:r>
      <w:r w:rsidRPr="00195DBD">
        <w:rPr>
          <w:rFonts w:ascii="Arial" w:hAnsi="Arial" w:cs="Arial"/>
          <w:i/>
          <w:iCs/>
          <w:sz w:val="24"/>
          <w:szCs w:val="24"/>
        </w:rPr>
        <w:t xml:space="preserve"> több folyamatban (eljárás előkészítése, ajánlatok és részvételi jelentkezések bírálata, a közbeszerzési eljárás eredményéről szóló döntés meghozatala) is részt vesz, az érintett személynek a nyilatkozatot valamennyi folyamathoz kapcsolódóan meg kell tennie. Ha az összeférhetetlenség vagy annak kockázata a nyilatkozat megtételét követően merül fel, az érintett személy köteles ezt haladéktalanul bejelenteni az ajánlatkérő részére. </w:t>
      </w:r>
    </w:p>
    <w:p w14:paraId="616F4D79" w14:textId="77777777" w:rsidR="00195DBD" w:rsidRPr="00195DBD" w:rsidRDefault="00195DBD" w:rsidP="00195DBD">
      <w:pPr>
        <w:spacing w:before="100" w:beforeAutospacing="1" w:after="100" w:afterAutospacing="1" w:line="240" w:lineRule="auto"/>
        <w:jc w:val="both"/>
        <w:textAlignment w:val="top"/>
        <w:rPr>
          <w:rFonts w:ascii="Arial" w:hAnsi="Arial" w:cs="Arial"/>
          <w:i/>
          <w:iCs/>
          <w:sz w:val="24"/>
          <w:szCs w:val="24"/>
        </w:rPr>
      </w:pPr>
      <w:r w:rsidRPr="00195DBD">
        <w:rPr>
          <w:rFonts w:ascii="Arial" w:hAnsi="Arial" w:cs="Arial"/>
          <w:i/>
          <w:iCs/>
          <w:sz w:val="24"/>
          <w:szCs w:val="24"/>
        </w:rPr>
        <w:t xml:space="preserve">(3) Ha a (2) bekezdés szerinti cselekmények vagy bármely más forrásból származó információ alapján felmerül az összeférhetetlenség kockázata, az ajánlatkérő köteles megvizsgálni az összeférhetetlenség fennállását. </w:t>
      </w:r>
    </w:p>
    <w:p w14:paraId="2EF37BE2" w14:textId="4EE9363D" w:rsidR="00195DBD" w:rsidRDefault="00195DBD" w:rsidP="00195DBD">
      <w:pPr>
        <w:spacing w:before="100" w:beforeAutospacing="1" w:after="100" w:afterAutospacing="1" w:line="240" w:lineRule="auto"/>
        <w:jc w:val="both"/>
        <w:textAlignment w:val="top"/>
        <w:rPr>
          <w:rFonts w:ascii="Arial" w:hAnsi="Arial" w:cs="Arial"/>
          <w:i/>
          <w:iCs/>
          <w:sz w:val="24"/>
          <w:szCs w:val="24"/>
        </w:rPr>
      </w:pPr>
      <w:r w:rsidRPr="00195DBD">
        <w:rPr>
          <w:rFonts w:ascii="Arial" w:hAnsi="Arial" w:cs="Arial"/>
          <w:i/>
          <w:iCs/>
          <w:sz w:val="24"/>
          <w:szCs w:val="24"/>
        </w:rPr>
        <w:t xml:space="preserve">(4) Összeférhetetlenség áll fenn akkor, ha az ajánlatkérő részéről az eljárással vagy annak előkészítésével kapcsolatos tevékenységbe bevont vagy az eljárás eredményét befolyásolni képes személy – </w:t>
      </w:r>
      <w:proofErr w:type="gramStart"/>
      <w:r w:rsidRPr="00195DBD">
        <w:rPr>
          <w:rFonts w:ascii="Arial" w:hAnsi="Arial" w:cs="Arial"/>
          <w:i/>
          <w:iCs/>
          <w:sz w:val="24"/>
          <w:szCs w:val="24"/>
        </w:rPr>
        <w:t>ide értve</w:t>
      </w:r>
      <w:proofErr w:type="gramEnd"/>
      <w:r w:rsidRPr="00195DBD">
        <w:rPr>
          <w:rFonts w:ascii="Arial" w:hAnsi="Arial" w:cs="Arial"/>
          <w:i/>
          <w:iCs/>
          <w:sz w:val="24"/>
          <w:szCs w:val="24"/>
        </w:rPr>
        <w:t xml:space="preserve"> a közbeszerzési szolgáltatót, valamint az általa foglalkoztatottakat is – közvetve vagy közvetlenül olyan pénzügyi, gazdasági vagy egyéb személyes érdekeltséggel rendelkezik, amely úgy tekinthető, hogy befolyásolja funkcióinak pártatlan és tárgyilagos gyakorlását. </w:t>
      </w:r>
    </w:p>
    <w:p w14:paraId="22CB7142" w14:textId="77777777" w:rsidR="00195DBD" w:rsidRDefault="00195DBD" w:rsidP="00195DBD">
      <w:pPr>
        <w:spacing w:before="100" w:beforeAutospacing="1" w:after="100" w:afterAutospacing="1" w:line="240" w:lineRule="auto"/>
        <w:jc w:val="both"/>
        <w:textAlignment w:val="top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(</w:t>
      </w:r>
      <w:r w:rsidRPr="00195DBD">
        <w:rPr>
          <w:rFonts w:ascii="Arial" w:hAnsi="Arial" w:cs="Arial"/>
          <w:i/>
          <w:iCs/>
          <w:sz w:val="24"/>
          <w:szCs w:val="24"/>
        </w:rPr>
        <w:t xml:space="preserve">5) Vélelmezni kell, hogy fennáll a (4) bekezdés szerinti összeférhetetlenség, ha a (4) bekezdés szerinti személy </w:t>
      </w:r>
    </w:p>
    <w:p w14:paraId="23C85B11" w14:textId="77777777" w:rsidR="00195DBD" w:rsidRDefault="00195DBD" w:rsidP="00195DBD">
      <w:pPr>
        <w:spacing w:before="100" w:beforeAutospacing="1" w:after="100" w:afterAutospacing="1" w:line="240" w:lineRule="auto"/>
        <w:jc w:val="both"/>
        <w:textAlignment w:val="top"/>
        <w:rPr>
          <w:rFonts w:ascii="Arial" w:hAnsi="Arial" w:cs="Arial"/>
          <w:i/>
          <w:iCs/>
          <w:sz w:val="24"/>
          <w:szCs w:val="24"/>
        </w:rPr>
      </w:pPr>
      <w:r w:rsidRPr="00195DBD">
        <w:rPr>
          <w:rFonts w:ascii="Arial" w:hAnsi="Arial" w:cs="Arial"/>
          <w:i/>
          <w:iCs/>
          <w:sz w:val="24"/>
          <w:szCs w:val="24"/>
        </w:rPr>
        <w:t xml:space="preserve">a) a közbeszerzési eljárásban ajánlattevőként, részvételre jelentkezőként, alvállalkozóként részt vesz vagy az alkalmasság igazolásában részt vesz; </w:t>
      </w:r>
    </w:p>
    <w:p w14:paraId="3DEC5313" w14:textId="01E4AE51" w:rsidR="00195DBD" w:rsidRDefault="00195DBD" w:rsidP="00195DBD">
      <w:pPr>
        <w:spacing w:before="100" w:beforeAutospacing="1" w:after="100" w:afterAutospacing="1" w:line="240" w:lineRule="auto"/>
        <w:jc w:val="both"/>
        <w:textAlignment w:val="top"/>
        <w:rPr>
          <w:rFonts w:ascii="Arial" w:hAnsi="Arial" w:cs="Arial"/>
          <w:i/>
          <w:iCs/>
          <w:sz w:val="24"/>
          <w:szCs w:val="24"/>
        </w:rPr>
      </w:pPr>
      <w:r w:rsidRPr="00195DBD">
        <w:rPr>
          <w:rFonts w:ascii="Arial" w:hAnsi="Arial" w:cs="Arial"/>
          <w:i/>
          <w:iCs/>
          <w:sz w:val="24"/>
          <w:szCs w:val="24"/>
        </w:rPr>
        <w:lastRenderedPageBreak/>
        <w:t xml:space="preserve">b) *a közbeszerzési eljárásban ajánlattevőként, részvételre jelentkezőként, alvállalkozóként vagy az alkalmasság igazolásában részt vevő szervezetként részt vevő gazdasági szereplő tagja, vezető tisztségviselője, felügyelőbizottságának tagja, cégvezetője vagy alkalmazottja; vagy </w:t>
      </w:r>
    </w:p>
    <w:p w14:paraId="52F25BE4" w14:textId="77777777" w:rsidR="005A2FD5" w:rsidRDefault="00195DBD" w:rsidP="00195DBD">
      <w:pPr>
        <w:spacing w:before="100" w:beforeAutospacing="1" w:after="100" w:afterAutospacing="1" w:line="240" w:lineRule="auto"/>
        <w:jc w:val="both"/>
        <w:textAlignment w:val="top"/>
        <w:rPr>
          <w:rFonts w:ascii="Arial" w:hAnsi="Arial" w:cs="Arial"/>
          <w:i/>
          <w:iCs/>
          <w:sz w:val="24"/>
          <w:szCs w:val="24"/>
        </w:rPr>
      </w:pPr>
      <w:r w:rsidRPr="00195DBD">
        <w:rPr>
          <w:rFonts w:ascii="Arial" w:hAnsi="Arial" w:cs="Arial"/>
          <w:i/>
          <w:iCs/>
          <w:sz w:val="24"/>
          <w:szCs w:val="24"/>
        </w:rPr>
        <w:t xml:space="preserve">c) az a) vagy a b) pontban meghatározott személyek hozzátartozója. </w:t>
      </w:r>
    </w:p>
    <w:p w14:paraId="69148FBD" w14:textId="77777777" w:rsidR="005A2FD5" w:rsidRDefault="00195DBD" w:rsidP="00195DBD">
      <w:pPr>
        <w:spacing w:before="100" w:beforeAutospacing="1" w:after="100" w:afterAutospacing="1" w:line="240" w:lineRule="auto"/>
        <w:jc w:val="both"/>
        <w:textAlignment w:val="top"/>
        <w:rPr>
          <w:rFonts w:ascii="Arial" w:hAnsi="Arial" w:cs="Arial"/>
          <w:i/>
          <w:iCs/>
          <w:sz w:val="24"/>
          <w:szCs w:val="24"/>
        </w:rPr>
      </w:pPr>
      <w:r w:rsidRPr="00195DBD">
        <w:rPr>
          <w:rFonts w:ascii="Arial" w:hAnsi="Arial" w:cs="Arial"/>
          <w:i/>
          <w:iCs/>
          <w:sz w:val="24"/>
          <w:szCs w:val="24"/>
        </w:rPr>
        <w:t xml:space="preserve">(6) A nyilvánosan működő részvénytársaság kivételével összeférhetetlen és nem vehet részt az eljárásban ajánlattevőként, részvételre jelentkezőként, alvállalkozóként vagy az alkalmasság igazolásában részt vevő szervezetként </w:t>
      </w:r>
    </w:p>
    <w:p w14:paraId="78062421" w14:textId="77777777" w:rsidR="005A2FD5" w:rsidRDefault="00195DBD" w:rsidP="00195DBD">
      <w:pPr>
        <w:spacing w:before="100" w:beforeAutospacing="1" w:after="100" w:afterAutospacing="1" w:line="240" w:lineRule="auto"/>
        <w:jc w:val="both"/>
        <w:textAlignment w:val="top"/>
        <w:rPr>
          <w:rFonts w:ascii="Arial" w:hAnsi="Arial" w:cs="Arial"/>
          <w:i/>
          <w:iCs/>
          <w:sz w:val="24"/>
          <w:szCs w:val="24"/>
        </w:rPr>
      </w:pPr>
      <w:r w:rsidRPr="00195DBD">
        <w:rPr>
          <w:rFonts w:ascii="Arial" w:hAnsi="Arial" w:cs="Arial"/>
          <w:i/>
          <w:iCs/>
          <w:sz w:val="24"/>
          <w:szCs w:val="24"/>
        </w:rPr>
        <w:t xml:space="preserve">a) a köztársasági elnök, </w:t>
      </w:r>
    </w:p>
    <w:p w14:paraId="3D1C09D7" w14:textId="77777777" w:rsidR="005A2FD5" w:rsidRDefault="00195DBD" w:rsidP="00195DBD">
      <w:pPr>
        <w:spacing w:before="100" w:beforeAutospacing="1" w:after="100" w:afterAutospacing="1" w:line="240" w:lineRule="auto"/>
        <w:jc w:val="both"/>
        <w:textAlignment w:val="top"/>
        <w:rPr>
          <w:rFonts w:ascii="Arial" w:hAnsi="Arial" w:cs="Arial"/>
          <w:i/>
          <w:iCs/>
          <w:sz w:val="24"/>
          <w:szCs w:val="24"/>
        </w:rPr>
      </w:pPr>
      <w:r w:rsidRPr="00195DBD">
        <w:rPr>
          <w:rFonts w:ascii="Arial" w:hAnsi="Arial" w:cs="Arial"/>
          <w:i/>
          <w:iCs/>
          <w:sz w:val="24"/>
          <w:szCs w:val="24"/>
        </w:rPr>
        <w:t xml:space="preserve">b) az Országgyűlés elnöke, alelnöke, </w:t>
      </w:r>
    </w:p>
    <w:p w14:paraId="0E7F41F2" w14:textId="77777777" w:rsidR="005A2FD5" w:rsidRDefault="00195DBD" w:rsidP="00195DBD">
      <w:pPr>
        <w:spacing w:before="100" w:beforeAutospacing="1" w:after="100" w:afterAutospacing="1" w:line="240" w:lineRule="auto"/>
        <w:jc w:val="both"/>
        <w:textAlignment w:val="top"/>
        <w:rPr>
          <w:rFonts w:ascii="Arial" w:hAnsi="Arial" w:cs="Arial"/>
          <w:i/>
          <w:iCs/>
          <w:sz w:val="24"/>
          <w:szCs w:val="24"/>
        </w:rPr>
      </w:pPr>
      <w:r w:rsidRPr="00195DBD">
        <w:rPr>
          <w:rFonts w:ascii="Arial" w:hAnsi="Arial" w:cs="Arial"/>
          <w:i/>
          <w:iCs/>
          <w:sz w:val="24"/>
          <w:szCs w:val="24"/>
        </w:rPr>
        <w:t xml:space="preserve">c) a Kormány tagja, </w:t>
      </w:r>
    </w:p>
    <w:p w14:paraId="1933119E" w14:textId="77777777" w:rsidR="005A2FD5" w:rsidRDefault="00195DBD" w:rsidP="00195DBD">
      <w:pPr>
        <w:spacing w:before="100" w:beforeAutospacing="1" w:after="100" w:afterAutospacing="1" w:line="240" w:lineRule="auto"/>
        <w:jc w:val="both"/>
        <w:textAlignment w:val="top"/>
        <w:rPr>
          <w:rFonts w:ascii="Arial" w:hAnsi="Arial" w:cs="Arial"/>
          <w:i/>
          <w:iCs/>
          <w:sz w:val="24"/>
          <w:szCs w:val="24"/>
        </w:rPr>
      </w:pPr>
      <w:r w:rsidRPr="00195DBD">
        <w:rPr>
          <w:rFonts w:ascii="Arial" w:hAnsi="Arial" w:cs="Arial"/>
          <w:i/>
          <w:iCs/>
          <w:sz w:val="24"/>
          <w:szCs w:val="24"/>
        </w:rPr>
        <w:t xml:space="preserve">d) a Kúria elnöke, az Országos Bírósági Hivatal elnöke, </w:t>
      </w:r>
    </w:p>
    <w:p w14:paraId="469332EE" w14:textId="77777777" w:rsidR="005A2FD5" w:rsidRDefault="00195DBD" w:rsidP="00195DBD">
      <w:pPr>
        <w:spacing w:before="100" w:beforeAutospacing="1" w:after="100" w:afterAutospacing="1" w:line="240" w:lineRule="auto"/>
        <w:jc w:val="both"/>
        <w:textAlignment w:val="top"/>
        <w:rPr>
          <w:rFonts w:ascii="Arial" w:hAnsi="Arial" w:cs="Arial"/>
          <w:i/>
          <w:iCs/>
          <w:sz w:val="24"/>
          <w:szCs w:val="24"/>
        </w:rPr>
      </w:pPr>
      <w:r w:rsidRPr="00195DBD">
        <w:rPr>
          <w:rFonts w:ascii="Arial" w:hAnsi="Arial" w:cs="Arial"/>
          <w:i/>
          <w:iCs/>
          <w:sz w:val="24"/>
          <w:szCs w:val="24"/>
        </w:rPr>
        <w:t xml:space="preserve">e) a legfőbb ügyész, </w:t>
      </w:r>
    </w:p>
    <w:p w14:paraId="137909E3" w14:textId="77777777" w:rsidR="005A2FD5" w:rsidRDefault="00195DBD" w:rsidP="00195DBD">
      <w:pPr>
        <w:spacing w:before="100" w:beforeAutospacing="1" w:after="100" w:afterAutospacing="1" w:line="240" w:lineRule="auto"/>
        <w:jc w:val="both"/>
        <w:textAlignment w:val="top"/>
        <w:rPr>
          <w:rFonts w:ascii="Arial" w:hAnsi="Arial" w:cs="Arial"/>
          <w:i/>
          <w:iCs/>
          <w:sz w:val="24"/>
          <w:szCs w:val="24"/>
        </w:rPr>
      </w:pPr>
      <w:r w:rsidRPr="00195DBD">
        <w:rPr>
          <w:rFonts w:ascii="Arial" w:hAnsi="Arial" w:cs="Arial"/>
          <w:i/>
          <w:iCs/>
          <w:sz w:val="24"/>
          <w:szCs w:val="24"/>
        </w:rPr>
        <w:t xml:space="preserve">f) az Alkotmánybíróság elnöke, </w:t>
      </w:r>
    </w:p>
    <w:p w14:paraId="4A1F9745" w14:textId="77777777" w:rsidR="005A2FD5" w:rsidRDefault="00195DBD" w:rsidP="00195DBD">
      <w:pPr>
        <w:spacing w:before="100" w:beforeAutospacing="1" w:after="100" w:afterAutospacing="1" w:line="240" w:lineRule="auto"/>
        <w:jc w:val="both"/>
        <w:textAlignment w:val="top"/>
        <w:rPr>
          <w:rFonts w:ascii="Arial" w:hAnsi="Arial" w:cs="Arial"/>
          <w:i/>
          <w:iCs/>
          <w:sz w:val="24"/>
          <w:szCs w:val="24"/>
        </w:rPr>
      </w:pPr>
      <w:r w:rsidRPr="00195DBD">
        <w:rPr>
          <w:rFonts w:ascii="Arial" w:hAnsi="Arial" w:cs="Arial"/>
          <w:i/>
          <w:iCs/>
          <w:sz w:val="24"/>
          <w:szCs w:val="24"/>
        </w:rPr>
        <w:t xml:space="preserve">g) az Állami Számvevőszék elnöke, </w:t>
      </w:r>
    </w:p>
    <w:p w14:paraId="12BC8CAE" w14:textId="77777777" w:rsidR="005A2FD5" w:rsidRDefault="00195DBD" w:rsidP="00195DBD">
      <w:pPr>
        <w:spacing w:before="100" w:beforeAutospacing="1" w:after="100" w:afterAutospacing="1" w:line="240" w:lineRule="auto"/>
        <w:jc w:val="both"/>
        <w:textAlignment w:val="top"/>
        <w:rPr>
          <w:rFonts w:ascii="Arial" w:hAnsi="Arial" w:cs="Arial"/>
          <w:i/>
          <w:iCs/>
          <w:sz w:val="24"/>
          <w:szCs w:val="24"/>
        </w:rPr>
      </w:pPr>
      <w:r w:rsidRPr="00195DBD">
        <w:rPr>
          <w:rFonts w:ascii="Arial" w:hAnsi="Arial" w:cs="Arial"/>
          <w:i/>
          <w:iCs/>
          <w:sz w:val="24"/>
          <w:szCs w:val="24"/>
        </w:rPr>
        <w:t xml:space="preserve">h) a Közbeszerzési Hatóság, a Gazdasági Versenyhivatal, a Nemzeti Adatvédelmi és Információszabadság Hatóság, a Nemzeti Választási Iroda, a Központi Statisztikai Hivatal, az Országos Atomenergia Hivatal, a Szellemi Tulajdon Nemzeti Hivatala, a Nemzeti Adó- és Vámhivatal, a Nemzeti Kutatási, Fejlesztési és Innovációs Hivatal, a Nemzeti Média- és Hírközlési Hatóság, a Magyar Energetikai és Közmű-szabályozási Hivatal vezetője, vagy </w:t>
      </w:r>
    </w:p>
    <w:p w14:paraId="17ADC41C" w14:textId="77777777" w:rsidR="005A2FD5" w:rsidRDefault="00195DBD" w:rsidP="00195DBD">
      <w:pPr>
        <w:spacing w:before="100" w:beforeAutospacing="1" w:after="100" w:afterAutospacing="1" w:line="240" w:lineRule="auto"/>
        <w:jc w:val="both"/>
        <w:textAlignment w:val="top"/>
        <w:rPr>
          <w:rFonts w:ascii="Arial" w:hAnsi="Arial" w:cs="Arial"/>
          <w:i/>
          <w:iCs/>
          <w:sz w:val="24"/>
          <w:szCs w:val="24"/>
        </w:rPr>
      </w:pPr>
      <w:r w:rsidRPr="00195DBD">
        <w:rPr>
          <w:rFonts w:ascii="Arial" w:hAnsi="Arial" w:cs="Arial"/>
          <w:i/>
          <w:iCs/>
          <w:sz w:val="24"/>
          <w:szCs w:val="24"/>
        </w:rPr>
        <w:t xml:space="preserve">i) a Magyar Nemzeti Bank elnöke tulajdonában, vagy az </w:t>
      </w:r>
      <w:proofErr w:type="gramStart"/>
      <w:r w:rsidRPr="00195DBD">
        <w:rPr>
          <w:rFonts w:ascii="Arial" w:hAnsi="Arial" w:cs="Arial"/>
          <w:i/>
          <w:iCs/>
          <w:sz w:val="24"/>
          <w:szCs w:val="24"/>
        </w:rPr>
        <w:t>a)–</w:t>
      </w:r>
      <w:proofErr w:type="gramEnd"/>
      <w:r w:rsidRPr="00195DBD">
        <w:rPr>
          <w:rFonts w:ascii="Arial" w:hAnsi="Arial" w:cs="Arial"/>
          <w:i/>
          <w:iCs/>
          <w:sz w:val="24"/>
          <w:szCs w:val="24"/>
        </w:rPr>
        <w:t xml:space="preserve">i) pont szerinti személlyel közös háztartásban élő hozzátartozója tulajdonában álló szervezet. </w:t>
      </w:r>
    </w:p>
    <w:p w14:paraId="16E8703D" w14:textId="77777777" w:rsidR="001F6B00" w:rsidRDefault="00195DBD" w:rsidP="00195DBD">
      <w:pPr>
        <w:spacing w:before="100" w:beforeAutospacing="1" w:after="100" w:afterAutospacing="1" w:line="240" w:lineRule="auto"/>
        <w:jc w:val="both"/>
        <w:textAlignment w:val="top"/>
        <w:rPr>
          <w:rFonts w:ascii="Arial" w:hAnsi="Arial" w:cs="Arial"/>
          <w:i/>
          <w:iCs/>
          <w:sz w:val="24"/>
          <w:szCs w:val="24"/>
        </w:rPr>
      </w:pPr>
      <w:r w:rsidRPr="00195DBD">
        <w:rPr>
          <w:rFonts w:ascii="Arial" w:hAnsi="Arial" w:cs="Arial"/>
          <w:i/>
          <w:iCs/>
          <w:sz w:val="24"/>
          <w:szCs w:val="24"/>
        </w:rPr>
        <w:t xml:space="preserve">(7) A közbeszerzési eljárás előkészítésében vagy lefolytatásában az ajánlatkérő részéről nem vehet részt olyan személy, akinek a részvétele összeférhetetlenséget eredményezne. Összeférhetetlenség fennállása esetén az ajánlatkérő köteles megvizsgálni, hogy az összeférhetetlenség az adott közbeszerzési eljárás tekintetében hogyan érintette a verseny tisztasága és az egyenlő bánásmód elveinek érvényesülését, és köteles mindazon intézkedéseket megtenni, amelyek szükségesek az összeférhetetlenség megszüntetéséhez és az eljárás jogszerűségének helyreállításához. A 62. § (1) bekezdés m) pontja akkor alkalmazható, ha az egyenlő bánásmód és a verseny tisztaságának sérelme más módon nem orvosolható. </w:t>
      </w:r>
    </w:p>
    <w:p w14:paraId="5695F0BD" w14:textId="77777777" w:rsidR="001F6B00" w:rsidRDefault="00195DBD" w:rsidP="00195DBD">
      <w:pPr>
        <w:spacing w:before="100" w:beforeAutospacing="1" w:after="100" w:afterAutospacing="1" w:line="240" w:lineRule="auto"/>
        <w:jc w:val="both"/>
        <w:textAlignment w:val="top"/>
        <w:rPr>
          <w:rFonts w:ascii="Arial" w:hAnsi="Arial" w:cs="Arial"/>
          <w:i/>
          <w:iCs/>
          <w:sz w:val="24"/>
          <w:szCs w:val="24"/>
        </w:rPr>
      </w:pPr>
      <w:r w:rsidRPr="00195DBD">
        <w:rPr>
          <w:rFonts w:ascii="Arial" w:hAnsi="Arial" w:cs="Arial"/>
          <w:i/>
          <w:iCs/>
          <w:sz w:val="24"/>
          <w:szCs w:val="24"/>
        </w:rPr>
        <w:t xml:space="preserve">(8) A (7) bekezdéstől eltérően, ha egy részvételre jelentkező, ajánlattevő, alvállalkozó vagy az alkalmasság igazolásában részt vevő szervezet vagy egy ezekkel – közvetve vagy közvetlenül – a 3. § 28. pontjában meghatározott kapcsolatban álló gazdasági szereplő – ide értve az (5) bekezdés b) pontja szerinti személyeket is – részt vett a közbeszerzési eljárás előkészítésében, az ajánlatkérő köteles megfelelő </w:t>
      </w:r>
      <w:r w:rsidRPr="00195DBD">
        <w:rPr>
          <w:rFonts w:ascii="Arial" w:hAnsi="Arial" w:cs="Arial"/>
          <w:i/>
          <w:iCs/>
          <w:sz w:val="24"/>
          <w:szCs w:val="24"/>
        </w:rPr>
        <w:lastRenderedPageBreak/>
        <w:t xml:space="preserve">intézkedéseket tenni – különös tekintettel az eljáráshoz kapcsolódó valamennyi releváns információ többi gazdasági szereplővel való közlésére, valamint megfelelő ajánlattételi határidő biztosítására – annak érdekében, hogy az érintett gazdasági szereplő közbeszerzési eljárásban való részvétele ne vezessen a verseny torzításához. Az érintett gazdasági szereplő a 62. § (1) bekezdés m) pontja alapján csak akkor zárható ki az eljárásból, ha az egyenlő bánásmód elvének tiszteletben tartása más módon nem biztosítható. A kizárást megelőzően az ajánlatkérő – hiánypótlás vagy felvilágosítás kérés útján – köteles biztosítani annak lehetőségét, hogy az érintett gazdasági szereplő bizonyítsa, hogy a közbeszerzési eljárás előkészítésében való részvétele az egyenlő bánásmód elvét és a verseny tisztaságát nem sérti, vagy az érintett gazdasági szereplő az összeférhetetlenségi helyzetet más módon elhárítsa. Az összeférhetetlenségi helyzet elhárítása érdekében a gazdasági szereplő által tett intézkedéseket az ajánlatkérő köteles az ajánlatok (részvételi jelentkezések) elbírálásáról szóló </w:t>
      </w:r>
      <w:proofErr w:type="spellStart"/>
      <w:r w:rsidRPr="00195DBD">
        <w:rPr>
          <w:rFonts w:ascii="Arial" w:hAnsi="Arial" w:cs="Arial"/>
          <w:i/>
          <w:iCs/>
          <w:sz w:val="24"/>
          <w:szCs w:val="24"/>
        </w:rPr>
        <w:t>összegezésben</w:t>
      </w:r>
      <w:proofErr w:type="spellEnd"/>
      <w:r w:rsidRPr="00195DBD">
        <w:rPr>
          <w:rFonts w:ascii="Arial" w:hAnsi="Arial" w:cs="Arial"/>
          <w:i/>
          <w:iCs/>
          <w:sz w:val="24"/>
          <w:szCs w:val="24"/>
        </w:rPr>
        <w:t xml:space="preserve"> ismertetni. </w:t>
      </w:r>
    </w:p>
    <w:p w14:paraId="57747EE8" w14:textId="77777777" w:rsidR="001F6B00" w:rsidRDefault="00195DBD" w:rsidP="00195DBD">
      <w:pPr>
        <w:spacing w:before="100" w:beforeAutospacing="1" w:after="100" w:afterAutospacing="1" w:line="240" w:lineRule="auto"/>
        <w:jc w:val="both"/>
        <w:textAlignment w:val="top"/>
        <w:rPr>
          <w:rFonts w:ascii="Arial" w:hAnsi="Arial" w:cs="Arial"/>
          <w:i/>
          <w:iCs/>
          <w:sz w:val="24"/>
          <w:szCs w:val="24"/>
        </w:rPr>
      </w:pPr>
      <w:r w:rsidRPr="00195DBD">
        <w:rPr>
          <w:rFonts w:ascii="Arial" w:hAnsi="Arial" w:cs="Arial"/>
          <w:i/>
          <w:iCs/>
          <w:sz w:val="24"/>
          <w:szCs w:val="24"/>
        </w:rPr>
        <w:t xml:space="preserve">(9) A (8) bekezdés alkalmazásában nem eredményezi a verseny tisztaságának sérelmét és nem összeférhetetlen az olyan személy (szervezet) részvétele az eljárásban, a) akitől, illetve amelytől az ajánlatkérő az adott közbeszerzéssel kapcsolatos helyzet-, piacfelmérés, illetve a közbeszerzés becsült értékének felmérése érdekében a közbeszerzés megkezdése időpontjának megjelölése nélkül, kizárólag a felmérés érdekében szükséges adatokat közölve kért tájékoztatást, b) aki, illetve amely az ajánlatkérő által folytatott előzetes piaci konzultációban [28. § (4) bekezdése] vett részt, c) akitől, illetve amelytől az ajánlatkérő a támogatásra irányuló igény (pályázat) benyújtásához szükséges árajánlatot kapott, feltéve, hogy az a), b) vagy a c) pont alkalmazása kapcsán az ajánlatkérő nem közölt vele a közbeszerzési eljárás során az összes ajánlattevő vagy részvételre jelentkező részére rendelkezésre bocsátott adatok körét meghaladó információt, valamint az ajánlattételi határidő meghatározása biztosítja az egyenlő bánásmód elvének érvényesülését. </w:t>
      </w:r>
    </w:p>
    <w:p w14:paraId="42FF698A" w14:textId="42BFBBB0" w:rsidR="00683171" w:rsidRPr="001F6B00" w:rsidRDefault="00195DBD" w:rsidP="001F6B00">
      <w:pPr>
        <w:spacing w:before="100" w:beforeAutospacing="1" w:after="100" w:afterAutospacing="1" w:line="240" w:lineRule="auto"/>
        <w:jc w:val="both"/>
        <w:textAlignment w:val="top"/>
        <w:rPr>
          <w:rFonts w:ascii="Arial" w:hAnsi="Arial" w:cs="Arial"/>
          <w:sz w:val="24"/>
          <w:szCs w:val="24"/>
        </w:rPr>
      </w:pPr>
      <w:r w:rsidRPr="00195DBD">
        <w:rPr>
          <w:rFonts w:ascii="Arial" w:hAnsi="Arial" w:cs="Arial"/>
          <w:i/>
          <w:iCs/>
          <w:sz w:val="24"/>
          <w:szCs w:val="24"/>
        </w:rPr>
        <w:t>(10) * Az ajánlatkérő az e § szerinti kötelezettségeinek teljesítéséhez kért nyilatkozatokban vagy egyéb dokumentumokban foglalt, egyes személyek összeférhetetlenségének vizsgálata szempontjából releváns, e személyek vagy hozzátartozóik pénzügyi, gazdasági és személyi viszonyaira vonatkozó adatok kezelésére a 46. § (2) bekezdése szerinti iratmegőrzési kötelezettség lejártáig jogosult.</w:t>
      </w:r>
      <w:r w:rsidRPr="00195DBD">
        <w:rPr>
          <w:rFonts w:ascii="Arial" w:hAnsi="Arial" w:cs="Arial"/>
          <w:sz w:val="24"/>
          <w:szCs w:val="24"/>
        </w:rPr>
        <w:br/>
      </w:r>
      <w:r w:rsidRPr="00195DBD">
        <w:rPr>
          <w:rFonts w:ascii="Arial" w:hAnsi="Arial" w:cs="Arial"/>
          <w:sz w:val="24"/>
          <w:szCs w:val="24"/>
        </w:rPr>
        <w:br/>
      </w:r>
      <w:r w:rsidR="00683171">
        <w:rPr>
          <w:rFonts w:ascii="Arial" w:hAnsi="Arial" w:cs="Arial"/>
          <w:sz w:val="24"/>
          <w:szCs w:val="24"/>
        </w:rPr>
        <w:t>Egyúttal kijelentem, hogy Szombathely Megyei Jogú Város Önkormányzata, valamint Szombathely Megyei Jogú Város Polgármesteri Hivatala</w:t>
      </w:r>
      <w:r w:rsidR="00220897">
        <w:rPr>
          <w:rFonts w:ascii="Arial" w:hAnsi="Arial" w:cs="Arial"/>
          <w:sz w:val="24"/>
          <w:szCs w:val="24"/>
        </w:rPr>
        <w:t>,</w:t>
      </w:r>
      <w:r w:rsidR="00683171">
        <w:rPr>
          <w:rFonts w:ascii="Arial" w:hAnsi="Arial" w:cs="Arial"/>
          <w:sz w:val="24"/>
          <w:szCs w:val="24"/>
        </w:rPr>
        <w:t xml:space="preserve"> mint ajánlatkérők által lefolytatandó közbeszerzési eljárások során haladéktalanul bejelentem, amennyiben bármilyen összeférhetetlenségi ok velem szemben fennáll.</w:t>
      </w:r>
    </w:p>
    <w:p w14:paraId="42FF698B" w14:textId="6C9FEBD3" w:rsidR="00683171" w:rsidRPr="00735FDE" w:rsidRDefault="00683171" w:rsidP="004B2AA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Kijelentem, hogy a közbeszerzési eljárások során tudomásomra jutott adatokat </w:t>
      </w:r>
      <w:r w:rsidR="00735FDE">
        <w:rPr>
          <w:rFonts w:ascii="Arial" w:hAnsi="Arial" w:cs="Arial"/>
          <w:sz w:val="24"/>
          <w:szCs w:val="24"/>
        </w:rPr>
        <w:t>valamint a Kbt</w:t>
      </w:r>
      <w:r w:rsidR="00735FDE" w:rsidRPr="00FD4600">
        <w:rPr>
          <w:rFonts w:ascii="Arial" w:hAnsi="Arial" w:cs="Arial"/>
          <w:sz w:val="24"/>
          <w:szCs w:val="24"/>
        </w:rPr>
        <w:t>. 44.</w:t>
      </w:r>
      <w:r w:rsidRPr="00735FD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735FDE">
        <w:rPr>
          <w:rFonts w:ascii="Arial" w:hAnsi="Arial" w:cs="Arial"/>
          <w:sz w:val="24"/>
          <w:szCs w:val="24"/>
        </w:rPr>
        <w:t>§.-</w:t>
      </w:r>
      <w:proofErr w:type="gramEnd"/>
      <w:r w:rsidR="00B664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5FDE">
        <w:rPr>
          <w:rFonts w:ascii="Arial" w:hAnsi="Arial" w:cs="Arial"/>
          <w:sz w:val="24"/>
          <w:szCs w:val="24"/>
        </w:rPr>
        <w:t>ban</w:t>
      </w:r>
      <w:proofErr w:type="spellEnd"/>
      <w:r w:rsidRPr="00735FDE">
        <w:rPr>
          <w:rFonts w:ascii="Arial" w:hAnsi="Arial" w:cs="Arial"/>
          <w:sz w:val="24"/>
          <w:szCs w:val="24"/>
        </w:rPr>
        <w:t xml:space="preserve"> és a Ptk. 2:</w:t>
      </w:r>
      <w:r w:rsidR="0082784C">
        <w:rPr>
          <w:rFonts w:ascii="Arial" w:hAnsi="Arial" w:cs="Arial"/>
          <w:sz w:val="24"/>
          <w:szCs w:val="24"/>
        </w:rPr>
        <w:t>55</w:t>
      </w:r>
      <w:r w:rsidRPr="00735FDE">
        <w:rPr>
          <w:rFonts w:ascii="Arial" w:hAnsi="Arial" w:cs="Arial"/>
          <w:sz w:val="24"/>
          <w:szCs w:val="24"/>
        </w:rPr>
        <w:t xml:space="preserve"> §.</w:t>
      </w:r>
      <w:r w:rsidR="0082784C">
        <w:rPr>
          <w:rFonts w:ascii="Arial" w:hAnsi="Arial" w:cs="Arial"/>
          <w:sz w:val="24"/>
          <w:szCs w:val="24"/>
        </w:rPr>
        <w:t xml:space="preserve">- </w:t>
      </w:r>
      <w:proofErr w:type="spellStart"/>
      <w:r w:rsidR="0082784C">
        <w:rPr>
          <w:rFonts w:ascii="Arial" w:hAnsi="Arial" w:cs="Arial"/>
          <w:sz w:val="24"/>
          <w:szCs w:val="24"/>
        </w:rPr>
        <w:t>ban</w:t>
      </w:r>
      <w:proofErr w:type="spellEnd"/>
      <w:r w:rsidR="0082784C">
        <w:rPr>
          <w:rFonts w:ascii="Arial" w:hAnsi="Arial" w:cs="Arial"/>
          <w:sz w:val="24"/>
          <w:szCs w:val="24"/>
        </w:rPr>
        <w:t xml:space="preserve"> </w:t>
      </w:r>
      <w:r w:rsidRPr="00735FDE">
        <w:rPr>
          <w:rFonts w:ascii="Arial" w:hAnsi="Arial" w:cs="Arial"/>
          <w:sz w:val="24"/>
          <w:szCs w:val="24"/>
        </w:rPr>
        <w:t xml:space="preserve">meghatározott üzleti titkot </w:t>
      </w:r>
      <w:proofErr w:type="spellStart"/>
      <w:r w:rsidRPr="00735FDE">
        <w:rPr>
          <w:rFonts w:ascii="Arial" w:hAnsi="Arial" w:cs="Arial"/>
          <w:sz w:val="24"/>
          <w:szCs w:val="24"/>
        </w:rPr>
        <w:t>megőrzöm</w:t>
      </w:r>
      <w:proofErr w:type="spellEnd"/>
      <w:r w:rsidRPr="00735FDE">
        <w:rPr>
          <w:rFonts w:ascii="Arial" w:hAnsi="Arial" w:cs="Arial"/>
          <w:sz w:val="24"/>
          <w:szCs w:val="24"/>
        </w:rPr>
        <w:t>, azt harmadik személynek, szervezetnek át nem adom.</w:t>
      </w:r>
    </w:p>
    <w:p w14:paraId="42FF698C" w14:textId="77777777" w:rsidR="00683171" w:rsidRPr="00735FDE" w:rsidRDefault="00683171" w:rsidP="004B2AA5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42FF698F" w14:textId="2BF102A7" w:rsidR="00683171" w:rsidRDefault="00683171" w:rsidP="004B2AA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35FDE">
        <w:rPr>
          <w:rFonts w:ascii="Arial" w:hAnsi="Arial" w:cs="Arial"/>
          <w:sz w:val="24"/>
          <w:szCs w:val="24"/>
        </w:rPr>
        <w:t>Kelt</w:t>
      </w:r>
      <w:proofErr w:type="gramStart"/>
      <w:r w:rsidRPr="00735FDE">
        <w:rPr>
          <w:rFonts w:ascii="Arial" w:hAnsi="Arial" w:cs="Arial"/>
          <w:sz w:val="24"/>
          <w:szCs w:val="24"/>
        </w:rPr>
        <w:t>.:…</w:t>
      </w:r>
      <w:proofErr w:type="gramEnd"/>
      <w:r w:rsidRPr="00735FDE">
        <w:rPr>
          <w:rFonts w:ascii="Arial" w:hAnsi="Arial" w:cs="Arial"/>
          <w:sz w:val="24"/>
          <w:szCs w:val="24"/>
        </w:rPr>
        <w:t>…………………………….</w:t>
      </w:r>
    </w:p>
    <w:p w14:paraId="42FF6990" w14:textId="2C3E11EB" w:rsidR="00683171" w:rsidRDefault="00683171" w:rsidP="004B2AA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……..………………………………</w:t>
      </w:r>
    </w:p>
    <w:p w14:paraId="42FF6991" w14:textId="77777777" w:rsidR="00683171" w:rsidRPr="004B2AA5" w:rsidRDefault="00683171" w:rsidP="00CB03DA">
      <w:pPr>
        <w:tabs>
          <w:tab w:val="left" w:pos="6663"/>
        </w:tabs>
        <w:spacing w:line="240" w:lineRule="auto"/>
        <w:ind w:left="5954" w:hanging="595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aláírás</w:t>
      </w:r>
    </w:p>
    <w:sectPr w:rsidR="00683171" w:rsidRPr="004B2AA5" w:rsidSect="00284DDF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FF6994" w14:textId="77777777" w:rsidR="005C597C" w:rsidRDefault="005C597C" w:rsidP="00CB03DA">
      <w:pPr>
        <w:spacing w:after="0" w:line="240" w:lineRule="auto"/>
      </w:pPr>
      <w:r>
        <w:separator/>
      </w:r>
    </w:p>
  </w:endnote>
  <w:endnote w:type="continuationSeparator" w:id="0">
    <w:p w14:paraId="42FF6995" w14:textId="77777777" w:rsidR="005C597C" w:rsidRDefault="005C597C" w:rsidP="00CB0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FF6996" w14:textId="77777777" w:rsidR="005C597C" w:rsidRDefault="005C597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B628AD">
      <w:rPr>
        <w:noProof/>
      </w:rPr>
      <w:t>3</w:t>
    </w:r>
    <w:r>
      <w:rPr>
        <w:noProof/>
      </w:rPr>
      <w:fldChar w:fldCharType="end"/>
    </w:r>
  </w:p>
  <w:p w14:paraId="42FF6997" w14:textId="77777777" w:rsidR="005C597C" w:rsidRDefault="005C597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FF6992" w14:textId="77777777" w:rsidR="005C597C" w:rsidRDefault="005C597C" w:rsidP="00CB03DA">
      <w:pPr>
        <w:spacing w:after="0" w:line="240" w:lineRule="auto"/>
      </w:pPr>
      <w:r>
        <w:separator/>
      </w:r>
    </w:p>
  </w:footnote>
  <w:footnote w:type="continuationSeparator" w:id="0">
    <w:p w14:paraId="42FF6993" w14:textId="77777777" w:rsidR="005C597C" w:rsidRDefault="005C597C" w:rsidP="00CB03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6728DA"/>
    <w:multiLevelType w:val="hybridMultilevel"/>
    <w:tmpl w:val="DF763528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80304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AA5"/>
    <w:rsid w:val="000B7AEC"/>
    <w:rsid w:val="00195DBD"/>
    <w:rsid w:val="001C5AA9"/>
    <w:rsid w:val="001D156A"/>
    <w:rsid w:val="001F6B00"/>
    <w:rsid w:val="00220897"/>
    <w:rsid w:val="00284DDF"/>
    <w:rsid w:val="002E65B6"/>
    <w:rsid w:val="003A6275"/>
    <w:rsid w:val="003C7574"/>
    <w:rsid w:val="004B2AA5"/>
    <w:rsid w:val="004C6B62"/>
    <w:rsid w:val="00562B9A"/>
    <w:rsid w:val="005A2FD5"/>
    <w:rsid w:val="005C597C"/>
    <w:rsid w:val="00683171"/>
    <w:rsid w:val="00735FDE"/>
    <w:rsid w:val="0082784C"/>
    <w:rsid w:val="008C21D0"/>
    <w:rsid w:val="009A54C1"/>
    <w:rsid w:val="00A41E32"/>
    <w:rsid w:val="00A563F7"/>
    <w:rsid w:val="00B52705"/>
    <w:rsid w:val="00B628AD"/>
    <w:rsid w:val="00B664EE"/>
    <w:rsid w:val="00C64A61"/>
    <w:rsid w:val="00C916E9"/>
    <w:rsid w:val="00CB03DA"/>
    <w:rsid w:val="00D74857"/>
    <w:rsid w:val="00DB5CCF"/>
    <w:rsid w:val="00DD5B29"/>
    <w:rsid w:val="00E019C7"/>
    <w:rsid w:val="00E10A03"/>
    <w:rsid w:val="00E15A39"/>
    <w:rsid w:val="00E31102"/>
    <w:rsid w:val="00E60C6F"/>
    <w:rsid w:val="00F717E3"/>
    <w:rsid w:val="00FD4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FF697B"/>
  <w15:docId w15:val="{0C8DFFBE-E5AC-46F2-A897-325B9A1F0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84DDF"/>
    <w:pPr>
      <w:spacing w:after="160" w:line="259" w:lineRule="auto"/>
    </w:pPr>
    <w:rPr>
      <w:lang w:eastAsia="en-US"/>
    </w:rPr>
  </w:style>
  <w:style w:type="paragraph" w:styleId="Cmsor1">
    <w:name w:val="heading 1"/>
    <w:basedOn w:val="Norml"/>
    <w:link w:val="Cmsor1Char"/>
    <w:uiPriority w:val="9"/>
    <w:qFormat/>
    <w:locked/>
    <w:rsid w:val="005C59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4B2AA5"/>
    <w:pPr>
      <w:ind w:left="720"/>
      <w:contextualSpacing/>
    </w:pPr>
  </w:style>
  <w:style w:type="paragraph" w:styleId="lfej">
    <w:name w:val="header"/>
    <w:basedOn w:val="Norml"/>
    <w:link w:val="lfejChar"/>
    <w:uiPriority w:val="99"/>
    <w:rsid w:val="00CB03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locked/>
    <w:rsid w:val="00CB03DA"/>
    <w:rPr>
      <w:rFonts w:cs="Times New Roman"/>
    </w:rPr>
  </w:style>
  <w:style w:type="paragraph" w:styleId="llb">
    <w:name w:val="footer"/>
    <w:basedOn w:val="Norml"/>
    <w:link w:val="llbChar"/>
    <w:uiPriority w:val="99"/>
    <w:rsid w:val="00CB03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locked/>
    <w:rsid w:val="00CB03DA"/>
    <w:rPr>
      <w:rFonts w:cs="Times New Roman"/>
    </w:rPr>
  </w:style>
  <w:style w:type="character" w:customStyle="1" w:styleId="Cmsor1Char">
    <w:name w:val="Címsor 1 Char"/>
    <w:basedOn w:val="Bekezdsalapbettpusa"/>
    <w:link w:val="Cmsor1"/>
    <w:uiPriority w:val="9"/>
    <w:rsid w:val="005C597C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Hiperhivatkozs">
    <w:name w:val="Hyperlink"/>
    <w:basedOn w:val="Bekezdsalapbettpusa"/>
    <w:uiPriority w:val="99"/>
    <w:unhideWhenUsed/>
    <w:rsid w:val="005C597C"/>
    <w:rPr>
      <w:strike w:val="0"/>
      <w:dstrike w:val="0"/>
      <w:color w:val="157FCC"/>
      <w:u w:val="none"/>
      <w:effect w:val="none"/>
    </w:rPr>
  </w:style>
  <w:style w:type="paragraph" w:customStyle="1" w:styleId="cf0">
    <w:name w:val="cf0"/>
    <w:basedOn w:val="Norml"/>
    <w:rsid w:val="005C59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195D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4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6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1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31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651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228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280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341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4040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7929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132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448AC4-AF01-4811-87F2-91392481AE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351659-BFA2-4685-90FF-D17247DD41F6}">
  <ds:schemaRefs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elements/1.1/"/>
    <ds:schemaRef ds:uri="http://purl.org/dc/terms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35F2AC4-A93A-41F6-B749-526AD2E184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0DC5EA-DCF2-433A-9E2D-982674ABC6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962</Words>
  <Characters>7092</Characters>
  <Application>Microsoft Office Word</Application>
  <DocSecurity>4</DocSecurity>
  <Lines>59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8038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Józsa Andrea</dc:creator>
  <cp:keywords/>
  <dc:description/>
  <cp:lastModifiedBy>Office5</cp:lastModifiedBy>
  <cp:revision>2</cp:revision>
  <cp:lastPrinted>2024-10-07T08:29:00Z</cp:lastPrinted>
  <dcterms:created xsi:type="dcterms:W3CDTF">2024-10-21T08:56:00Z</dcterms:created>
  <dcterms:modified xsi:type="dcterms:W3CDTF">2024-10-21T08:56:00Z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